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521</w:t>
      </w:r>
    </w:p>
    <w:p>
      <w:r>
        <w:t>Bundesgericht (BGE), 1994-11-19, DE</w:t>
      </w:r>
    </w:p>
    <w:p>
      <w:r>
        <w:rPr>
          <w:b/>
        </w:rPr>
        <w:t xml:space="preserve">Quelle: </w:t>
      </w:r>
      <w:r>
        <w:t>https://mcp.opencaselaw.ch/entscheid/bge_120 V 521</w:t>
      </w:r>
    </w:p>
    <w:p>
      <w:r>
        <w:t>FR: ATF 120 V 521</w:t>
      </w:r>
    </w:p>
    <w:p>
      <w:r>
        <w:t>IT: DTF 120 V 521</w:t>
      </w:r>
    </w:p>
    <w:p>
      <w:pPr>
        <w:pStyle w:val="Heading2"/>
      </w:pPr>
      <w:r>
        <w:t>Regeste</w:t>
      </w:r>
    </w:p>
    <w:p>
      <w:r>
        <w:t>Regeste Art. 31 Abs. 1 und Art. 31 Abs. 3 lit. c AVIG: Anspruch von Vizedirektoren eines Grossbetriebes auf Kurzarbeitsentschädigung. Bei der Beurteilung der Frage, ob ein Angestellter Mitglied eines obersten betrieblichen Entscheidungsgremiums und damit vom Anspruch auf Kurzarbeitsentschädigung ausgeschlossen ist, muss geprüft werden, welche Entscheidungsbefugnisse ihm aufgrund der internen betrieblichen Struktur zukommen. Es ist unzulässig, Angestellte in leitenden Funktionen allein deswegen generell vom Anspruch auf Kurzarbeitsentschädigung auszuschliessen, weil sie für einen Betrieb zeichnungsberechtigt und im Handelsregister eingetragen sind.</w:t>
      </w:r>
    </w:p>
    <w:p>
      <w:pPr>
        <w:pStyle w:val="Heading2"/>
      </w:pPr>
      <w:r>
        <w:t>Erwägungen</w:t>
      </w:r>
    </w:p>
    <w:p>
      <w:r>
        <w:rPr>
          <w:b/>
        </w:rPr>
        <w:t>E. 1</w:t>
      </w:r>
    </w:p>
    <w:p>
      <w:r>
        <w:t>Laut Art. 31 Abs. 1 AVIG haben Arbeitnehmer, deren normale Arbeitszeit verkürzt oder deren Arbeit ganz eingestellt ist, Anspruch auf Kurzarbeitsentschädigung, wenn sie bestimmte, in lit. a-d näher umschriebene Voraussetzungen erfüllen. Keinen Anspruch auf Kurzarbeitsentschädigung haben gemäss Art. 31 Abs. 3 lit. c AVIG u.a.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 BGE 113 V 74 ) ist der Ausschluss der in Art. 31 Abs. 3 lit. c AVIG genannten Personen vom Entschädigungsanspruch absolut zu verstehen. Nach GERHARDS (Kommentar zum AVIG, Bd. I N. 43 zu Art. 31) steht hinter dieser Regelung der Gedanke der Verhütung von Missbräuchen (Selbstausstellung von für die Kurzarbeitsentschädigung notwendigen Bescheinigungen usw., Gefälligkeitsbescheinigungen, Unkontrollierbarkeit des tatsächlichen Arbeitsausfalls, Mitbestimmung oder Mitverantwortung bei der Einführung von Kurzarbeit u.ä., vor allem bei Arbeitnehmern mit Gesellschafts- oder sonstiger Kapitalbeteiligung in Leitungsfunktion des Betriebes).</w:t>
      </w:r>
    </w:p>
    <w:p>
      <w:r>
        <w:rPr>
          <w:b/>
        </w:rPr>
        <w:t>E. 2</w:t>
      </w:r>
    </w:p>
    <w:p>
      <w:r>
        <w:t>Im vorliegenden Fall ist streitig, ob die Vizedirektoren der Betriebsabteilungen Finanzen + Informatik/Dienste sowie Technik + Baubetrieb der Beschwerdeführerin als Mitglieder eines obersten betrieblichen Entscheidungsgremiums zu gelten haben, welche die Entscheidungen des Arbeitgebers bestimmen oder massgeblich beeinflussen können mit der Folge, dass sie aufgrund von Art. 31 Abs. 3 lit. c AVIG vom Anspruch auf Kurzarbeitsentschädigung ausgeschlossen sind. a) Die Vorinstanz ging davon aus, dass die Vizedirektoren, für welche die Beschwerdeführerin Kurzarbeitsentschädigung beansprucht, kollektiv zu BGE 120 V 521 S. 524 zweien für das Unternehmen zeichnungsberechtigt und im Handelsregister eingetragen sind. Die rechtliche Möglichkeit eines kollektiv zeichnungsberechtigten Vizedirektors zur Verpflichtung seiner Arbeitgeberfirma genüge, um einen massgeblichen Einfluss auf die Willensbildung eines obersten betrieblichen Leitungsorgans im Sinne von Art. 31 Abs. 3 lit. c AVIG anzunehmen. Vom Leistungsanspruch ausgeschlossen seien nicht nur Mitglieder des einzigen obersten Leitungsgremiums; vielmehr umfasse der Ausschluss alle obersten betrieblichen Entscheidungsgremien. Bei einer mehrstufigen Organisation seien dies mehrere Ebenen. Es sei nicht einzusehen, weshalb entgegen dem gegen aussen klar bekundeten Willen einer Arbeitgeberfirma, bestimmten Angestellten weitgehende geschäftsleitende Befugnisse einzuräumen, auf abweichende, schwer zugängliche interne Beschränkungen solcher Befugnisse abzustellen sei. Entscheidend sei unter alv-rechtlichen Gesichtspunkten nicht, ob jemand tatsächlich Einfluss nehme, sondern ob er über die rechtliche - nach aussen bekundete und erkennbare - Möglichkeit verfüge, auf die Entscheidungen des Arbeitgebers Einfluss zu nehmen. Bei der Beschwerdeführerin seien sämtliche leitenden Mitarbeiter (Verwaltungsratsmitglieder, Direktoren, Vizedirektoren, Prokuristen) kollektiv zeichnungsberechtigt und damit in der Lage - je zu zweien - der Arbeitgeberfirma zustehende Entscheide zu treffen und diese rechtlich verbindlich zu verpflichten. Darin sei eine den Anspruch auf Kurzarbeitsentschädigung ausschliessende Möglichkeit der Einflussnahme zu erblicken. Das Bestehen einer internen Hierarchie habe im Rahmen der rechtlichen Einflussnahmemöglichkeiten keine Bedeutung. b) Die Beschwerdeführerin wendet im wesentlichen ein, bei den betroffenen Vizedirektoren handle es sich nicht um Mitglieder eines obersten Entscheidungsgremiums, sondern um Mitarbeiter mit beschränkter Entscheidungsbefugnis (Abteilungsleiter, Ressortchefs), welche auf die Unternehmenspolitik keinen massgeblichen Einfluss nehmen könnten und deshalb nach dem Wortlaut des Gesetzes nicht vom Anspruch auf Kurzarbeitsentschädigung ausgeschlossen seien. Entscheidend sei nicht, welche Befugnisse sich eine Person aufgrund ihrer Zeichnungsberechtigung im Falle eines Missbrauchs ihrer effektiven Kompetenzen anmassen könnte, sondern welche Befugnisse ihr aufgrund ihrer Stellung im Betrieb tatsächlich zustehen. Den fraglichen Vizedirektoren komme trotz kollektiver Zeichnungsberechtigung keine Organstellung zu und sie hätten auch keine BGE 120 V 521 S. 525 Möglichkeit, die Entscheidungen der Arbeitgeberfirma massgeblich zu beeinflussen oder gar zu bestimmen. c) Das BIGA, welches den Antrag der Beschwerdeführerin unterstützt, vertritt die Auffassung, der Begriff "oberstes betriebliches Entscheidungsgremium" sei allein mit Blick auf die materielle Entscheidungs- und Gestaltungsmacht der in Frage stehenden Personen in bezug auf die Anordnung von Kurzarbeit zu interpretieren.</w:t>
      </w:r>
    </w:p>
    <w:p>
      <w:r>
        <w:rPr>
          <w:b/>
        </w:rPr>
        <w:t>E. 3</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BGE 118 Ib 191 Erw. 5a, 452 Erw. 3c, 555 Erw. 4d, BGE 118 II 342 Erw. 3e, je mit Hinweisen; IMBODEN/RHINOW/KRÄHENMANN, Schweizerische Verwaltungsrechtsprechung, Nr. 21 B IV). b) Der Wortlaut von Art. 31 Abs. 3 lit. c AVIG ist hinsichtlich der vorliegend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BGE 120 V 521 S. 526 sollte bei der Kurzarbeitsentschädigung (und in Verbindung mit Art. 42 Abs. 3 AVIG bei der Schlechtwetterentschädigung) dem Missbrauch bewusst ein Riegel geschoben werden ( BGE 113 V 77 Erw. 3c; GERHARDS, a.a.O., N. 43 zu Art. 31 AVIG ).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Insoweit ist der Argumentation des BIGA beizupflichten. Entgegen der Auffassung der Vorinstanz ist es daher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Diese Auffassung steht auch in Einklang mit der bisherigen Rechtsprechung. In BGE 113 V 78 Erw. 4 hat das Eidg. Versicherungsgericht für den Ausschluss vom Entschädigungsanspruch nebst den in jenem Fall im Vordergrund stehenden Beteiligungsverhältnissen insbesondere auch die gesellschaftsinterne Stellung der betroffenen Personen und die besondere Struktur der Gesellschaft als massgebend erachtet. Aus dem im angefochtenen Entscheid erwähnten unveröffentlichten Urteil B. vom 9. Juni 1993 kann für die vorliegende Streitsache schon deshalb nichts abgeleitet werden, weil es in jenem Fall um den Anspruch eines einzelzeichnungsberechtigten Angestellten eines als Einzelfirma geführten Kleinbetriebes auf Kurzarbeitsentschädigung ging. Schliesslich darf in einem weiteren Zusammenhang auch nicht unberücksichtigt bleiben, dass die Ausrichtung von Kurzarbeitsentschädigung insbesondere die Ganzarbeitslosigkeit, d.h. Kündigungen und Entlassungen, verhindern und gleichzeitig die Arbeitsplätze im Interesse von Arbeitgeber wie auch Arbeitnehmer erhalten will (unveröffentlichtes Urteil Gemeinde H. vom 26. Mai 1994; GERHARDS, a.a.O., N. 48 ff., Vorbem. zu Art. 31-41 AVIG ; BRÜGGER, Die Kurzarbeitsentschädigung als arbeitslosenversicherungsrechtliche Präventivmassnahme, Diss. 1993, S. 54 ff.). Diese Zielsetzung des AVIG würde in Frage gestellt, wenn Mitarbeiter ungeachtet ihrer tatsächlichen Entscheidungsbefugnisse allein aufgrund von Zeichnungsberechtigung und Handelsregistereintragung vom Anspruch auf Kurzarbeitsentschädigung BGE 120 V 521 S. 527 ausgenommen wären. Denn diesfalls wäre in vergleichbaren Fällen vermehrt mit Entlassungen zu rechnen, wie die Beschwerdeführerin zutreffend festhält.</w:t>
      </w:r>
    </w:p>
    <w:p>
      <w:r>
        <w:rPr>
          <w:b/>
        </w:rPr>
        <w:t>E. 4</w:t>
      </w:r>
    </w:p>
    <w:p>
      <w:r>
        <w:t>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Sie sind damit nicht zu dem durch Art. 31 Abs. 3 lit. c AVIG vom Entschädigungsanspruch ausgeschlossenen Personenkreis zu zählen; da auch die übrigen Anspruchsvoraussetzungen erfüllt sind, steht der Zusprechung von Kurzarbeitsentschädigung für die beantragte Dauer nichts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